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outlineLvl w:val="1"/>
      </w:pPr>
      <w:bookmarkStart w:id="0" w:name="_GoBack"/>
      <w:bookmarkEnd w:id="0"/>
      <w:r>
        <w:rPr>
          <w:b/>
          <w:sz w:val="36"/>
        </w:rPr>
        <w:t>磋商项目技术、服务、商务及其他要求</w:t>
      </w:r>
    </w:p>
    <w:p>
      <w:pPr>
        <w:pStyle w:val="4"/>
        <w:ind w:firstLine="480"/>
      </w:pPr>
      <w:r>
        <w:t>（注：带“★”的参数需求为实质性要求，供应商必须响应并满足的参数需求，采购人、采购代理机构应当根据项目实际需求合理设定，并明确具体要求。带“▲”号条款为允许负偏离的参数需求，若未响应或者不满足，将在综合评审中予以扣分处理。）</w:t>
      </w:r>
    </w:p>
    <w:p>
      <w:pPr>
        <w:pStyle w:val="4"/>
        <w:outlineLvl w:val="2"/>
      </w:pPr>
      <w:r>
        <w:rPr>
          <w:b/>
          <w:sz w:val="28"/>
        </w:rPr>
        <w:t>3.1采购项目概况</w:t>
      </w:r>
    </w:p>
    <w:p>
      <w:pPr>
        <w:pStyle w:val="4"/>
      </w:pPr>
    </w:p>
    <w:p>
      <w:pPr>
        <w:pStyle w:val="4"/>
      </w:pPr>
      <w:r>
        <w:t>自贡市旭川中学学生公寓拟采购定制公寓床一批。</w:t>
      </w:r>
    </w:p>
    <w:p>
      <w:pPr>
        <w:pStyle w:val="4"/>
        <w:ind w:firstLine="480"/>
        <w:outlineLvl w:val="2"/>
      </w:pPr>
      <w:r>
        <w:rPr>
          <w:b/>
          <w:sz w:val="28"/>
        </w:rPr>
        <w:t>3.2采购内容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采购包预算金额（元）: 322,704.00</w:t>
      </w:r>
    </w:p>
    <w:p>
      <w:pPr>
        <w:pStyle w:val="4"/>
      </w:pPr>
      <w:r>
        <w:t>采购包最高限价（元）: 322,704.00</w:t>
      </w:r>
    </w:p>
    <w:p>
      <w:pPr>
        <w:pStyle w:val="4"/>
      </w:pPr>
      <w:r>
        <w:t>供应商报价不允许超过标的金额</w:t>
      </w:r>
    </w:p>
    <w:p>
      <w:pPr>
        <w:pStyle w:val="4"/>
      </w:pPr>
      <w:r>
        <w:t>（招单价的）供应商报价不允许超过标的单价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820"/>
        <w:gridCol w:w="829"/>
        <w:gridCol w:w="1128"/>
        <w:gridCol w:w="820"/>
        <w:gridCol w:w="821"/>
        <w:gridCol w:w="821"/>
        <w:gridCol w:w="821"/>
        <w:gridCol w:w="821"/>
        <w:gridCol w:w="821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1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标的名称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数量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标的金额 （元）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计量单位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所属行业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是否核心产品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是否允许进口产品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是否属于节能产品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是否属于环境标志产品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</w:tblPrEx>
        <w:tc>
          <w:tcPr>
            <w:tcW w:w="831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定制公寓床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108.00</w:t>
            </w:r>
          </w:p>
        </w:tc>
        <w:tc>
          <w:tcPr>
            <w:tcW w:w="831" w:type="dxa"/>
          </w:tcPr>
          <w:p>
            <w:pPr>
              <w:pStyle w:val="4"/>
              <w:jc w:val="right"/>
            </w:pPr>
            <w:r>
              <w:t>322,704.00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台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工业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是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  <w:tc>
          <w:tcPr>
            <w:tcW w:w="831" w:type="dxa"/>
          </w:tcPr>
          <w:p>
            <w:pPr>
              <w:pStyle w:val="4"/>
            </w:pPr>
            <w:r>
              <w:t>否</w:t>
            </w:r>
          </w:p>
        </w:tc>
      </w:tr>
    </w:tbl>
    <w:p>
      <w:pPr>
        <w:pStyle w:val="4"/>
        <w:ind w:firstLine="480"/>
        <w:outlineLvl w:val="2"/>
      </w:pPr>
      <w:r>
        <w:rPr>
          <w:b/>
          <w:sz w:val="28"/>
        </w:rPr>
        <w:t>3.3技术要求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</w:p>
    <w:p>
      <w:pPr>
        <w:pStyle w:val="4"/>
      </w:pPr>
      <w:r>
        <w:t>标的名称：定制公寓床</w:t>
      </w:r>
    </w:p>
    <w:tbl>
      <w:tblPr>
        <w:tblStyle w:val="2"/>
        <w:tblW w:w="0" w:type="auto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716"/>
        <w:gridCol w:w="3091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9" w:type="dxa"/>
          </w:tcPr>
          <w:p>
            <w:pPr>
              <w:pStyle w:val="4"/>
            </w:pPr>
            <w:r>
              <w:t>参数性质</w:t>
            </w:r>
          </w:p>
        </w:tc>
        <w:tc>
          <w:tcPr>
            <w:tcW w:w="2769" w:type="dxa"/>
          </w:tcPr>
          <w:p>
            <w:pPr>
              <w:pStyle w:val="4"/>
            </w:pPr>
            <w:r>
              <w:t>序号</w:t>
            </w:r>
          </w:p>
        </w:tc>
        <w:tc>
          <w:tcPr>
            <w:tcW w:w="2769" w:type="dxa"/>
          </w:tcPr>
          <w:p>
            <w:pPr>
              <w:pStyle w:val="4"/>
            </w:pPr>
            <w:r>
              <w:t>技术参数与性能指标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9" w:type="dxa"/>
          </w:tcPr>
          <w:p/>
        </w:tc>
        <w:tc>
          <w:tcPr>
            <w:tcW w:w="2769" w:type="dxa"/>
          </w:tcPr>
          <w:p>
            <w:pPr>
              <w:pStyle w:val="4"/>
            </w:pPr>
            <w:r>
              <w:t>1</w:t>
            </w:r>
          </w:p>
        </w:tc>
        <w:tc>
          <w:tcPr>
            <w:tcW w:w="2769" w:type="dxa"/>
          </w:tcPr>
          <w:tbl>
            <w:tblPr>
              <w:tblStyle w:val="2"/>
              <w:tblW w:w="0" w:type="auto"/>
              <w:tblInd w:w="0" w:type="dxa"/>
              <w:tblBorders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70"/>
            </w:tblGrid>
            <w:tr>
              <w:tblPrEx>
                <w:tblBorders>
                  <w:top w:val="none" w:color="000000" w:sz="4" w:space="0"/>
                  <w:left w:val="none" w:color="000000" w:sz="4" w:space="0"/>
                  <w:bottom w:val="none" w:color="000000" w:sz="4" w:space="0"/>
                  <w:right w:val="none" w:color="000000" w:sz="4" w:space="0"/>
                  <w:insideH w:val="none" w:color="auto" w:sz="0" w:space="0"/>
                  <w:insideV w:val="none" w:color="auto" w:sz="0" w:space="0"/>
                </w:tblBorders>
              </w:tblPrEx>
              <w:tc>
                <w:tcPr>
                  <w:tcW w:w="255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top"/>
                </w:tcPr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定制公寓床：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★1、规格：2000mm*900mm*2100mm（±10mm）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2、边立柱：采用外观尺寸</w:t>
                  </w:r>
                  <w:r>
                    <w:rPr>
                      <w:rFonts w:ascii="宋体" w:hAnsi="宋体" w:eastAsia="宋体" w:cs="宋体"/>
                      <w:sz w:val="28"/>
                    </w:rPr>
                    <w:t>≥</w:t>
                  </w: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50mm×50mm方形管材；中立柱：采用外观尺寸</w:t>
                  </w:r>
                  <w:r>
                    <w:rPr>
                      <w:rFonts w:ascii="宋体" w:hAnsi="宋体" w:eastAsia="宋体" w:cs="宋体"/>
                      <w:sz w:val="28"/>
                    </w:rPr>
                    <w:t>≥</w:t>
                  </w: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40mm×60mm矩形管材；管壁厚度≥1.2mm。管材采用带钢，经扎压线辊压成型，高频焊接成闭口管材。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b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3、床立柱：涂层应无漏喷，锈蚀和脱色、掉色现象；涂层应光滑均匀，色泽一致，应无流挂、疙瘩、皱皮、飞漆等缺陷；涂层中可溶性重金属（可溶性铅、可溶性镉、可溶性铬、可溶性汞）均未检出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(提供具有CMA标识的国家第三方检验检测机构出具的“床立柱”检验报告复印件并加盖供应商公章）。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b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4、床厅（前、后床厅）：采用≥32mm×72mm“P”形管，管壁厚度≥1.2mm，管材采用带钢，经扎压线辊压成型，高频焊接成闭口“P”形管材，下端成圆弧形。床换：7根床换活动陷入式，采用≥20mm×30mm矩形管，管壁厚度≥1.0mm，管材采用带钢，经扎压线辊压成型，高频焊接成闭口管材；具有重力加固作用。                                                                                                       ▲5、矩形管：金属件外观性能要求合格，涂层中可溶性重金属（可溶性铅、可溶性镉、可溶性铬、可溶性汞）合格，通过人造气氛腐蚀试验。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(提供具有CMA标识的国家第三方检验检测机构出具的“矩形管”检验报告复印件并加盖供应商公章）。</w:t>
                  </w: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 xml:space="preserve">                                                                                                                                                  ▲6、横梁：金属件外观性能要求合格，涂层中可溶性重金属（可溶性铅、可溶性镉、可溶性铬、可溶性汞）合格，通过人造气氛腐蚀试验。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(提供具有CMA标识的国家第三方检验检测机构出具的“横梁”检验报告复印件并加盖供应商公章）。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7、弯头：采用≥50mm×50mmPP工程塑料一次成型；立柱顶端加装防撞装饰弯头，过渡圆润，整体稳固美观。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8、内塞：边立柱与地面接触处采用≥50mm×50mmPP工程塑料一次成型内塞脚垫。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b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9、护栏：圈梁采用≥25mm×25mm方形管，管壁厚度≥1.2mm，管材采用优质带钢，经扎压线辊压成型，高频焊接成闭口管材；护栏为上下层设计，下层嵌入E1级≥15mm三聚氰胺板为装饰板。                                                                                                                  ▲10、方形管：满足或优于《GB/T 3325-2017金属家具通用技术条件》标准要求，金属件外观性能要求合格，涂层中可溶性重金属（可溶性铅、可溶性镉、可溶性铬、可溶性汞）合格，通过人造气氛腐蚀试验。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 xml:space="preserve">(提供具有CMA标识的国家第三方检验检测机构出具的“方形管”抽样检验报告复印件并加盖供应商公章）    </w:t>
                  </w: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 xml:space="preserve">                                                                                                                          ▲11、护栏：金属件外观性能要求合格，涂层中可溶性重金属（可溶性铅、可溶性镉、可溶性铬、可溶性汞）合格，通过人造气氛腐蚀试验。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(提供具有CMA标识的国家第三方检验检测机构出具的“护栏”检验报告复印件并加盖供应商公章）。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b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12、踏梯：采用≥20mm×40mm×1.2mm椭圆管为支撑柱。支撑柱顶端与床厅连接处加装PP防松塑料连接外套，与床梯严密结合无缝连接，规格尺寸：≥长45mm×宽45mm×高度20mm×壁厚2.0mm。扶梯底部加装锥形PP塑料外套，外套规格尺寸：≥长45mm×宽25mm×高度27mm×壁厚2mm，锥形底座尺寸：≥长40mm×21mm×高度10mm。                                                               ▲13、踏梯：金属件外观性能要求合格，涂层中可溶性重金属（可溶性铅、可溶性镉、可溶性铬、可溶性汞）合格，通过人造气氛腐蚀试验。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 xml:space="preserve">(提供具有CMA标识的国家第三方检验检测机构出具的“踏梯”检验报告复印件并加盖供应商公章）。  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14、踏板尺寸：≥315mm×66m×13mm，采用PP塑料注塑成型，两端呈≥10mm×40mm半椭圆。踏板表面加装八颗≥41mm×7mm扣入式夜光条，且具有夜晚可视，避免防滑功能。踏板底座采用≥1.5m厚冷轧钢板一次冲压成型与踏板紧密结合，踏板钢板底部附两条加强筋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15、拉换：采用≥25mm×50mm矩管，管壁厚度≥1.2mm，和≥25mm×25mm方管，管壁厚度≥1.2mm。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16、装饰换：采用≥直径19mm圆管，管壁厚度≥1.0mm。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17、后拉杆：采用≥20mm×40mm矩管，管壁厚度≥1.2mm。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18、粉末涂料：在容器中状态色泽均匀，无异物，呈松散粉末状；筛余物（125μm）全部通过，涂膜外观正常，硬度（擦伤）≥F，附着力≤1级，耐冲击性合格，弯曲试验合格，杯突合格，耐碱性、耐酸性、耐人工气候老化性、耐湿热性均检测合格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 xml:space="preserve">(提供具有CMA标识的国家第三方检验检测机构出具的“粉末涂料”检验报告复印件并加盖供应商公章）                                                            ▲19、公寓床（多功能组合）：桌类主要尺寸、衣柜主要尺寸、床主要尺寸、扶梯主要尺寸合格；邻边垂直度、翘曲度、平整度、着地平稳性检测合格；金属件外观要求和木制件外观要求合格；甲醛释放量≤1.5mg/L；重金属含量（限色漆）和阻燃性能合格；扶梯挠度和强度、安全栏静载荷、安装要求合格（提供具有CMA标识的国家第三方检验检测机构出具的“公寓床（多功能组合）”（检验类别：型式检验）的检验报告复印件并加盖供应商公章，）。   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b/>
                      <w:sz w:val="28"/>
                    </w:rPr>
                    <w:t>床铺板：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▲1、床铺板采用实木多层板，甲醛释放量E₀≤0.050mg/m³，挥发性有机化合物（72h）均未检出，外观质量、含水率、静曲强度、弹性模量、胶合强度、浸渍剥离等均检测合格。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 xml:space="preserve">(提供具有CMA标识的国家第三方检验检测机构出具的“实木多层板”检验报告复印件并加盖供应商公章）  </w:t>
                  </w: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 xml:space="preserve">                                                                                                                                   2、床铺板厚度≥9mm.</w:t>
                  </w:r>
                  <w:r>
                    <w:rPr>
                      <w:rFonts w:ascii="&quot;times new roman&quot;" w:hAnsi="&quot;times new roman&quot;" w:eastAsia="&quot;times new roman&quot;" w:cs="&quot;times new roman&quot;"/>
                      <w:b/>
                      <w:sz w:val="21"/>
                    </w:rPr>
                    <w:t xml:space="preserve">   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b/>
                      <w:sz w:val="28"/>
                    </w:rPr>
                    <w:t>桌面、衣柜、书架:</w:t>
                  </w:r>
                </w:p>
                <w:p>
                  <w:pPr>
                    <w:pStyle w:val="4"/>
                    <w:numPr>
                      <w:ilvl w:val="0"/>
                      <w:numId w:val="1"/>
                    </w:numPr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桌面为≥25mm三聚氰胺板，其余采用≥15mm厚三聚氰胺板制作。                                                                                                                                           ▲2、三聚氰胺板：甲醛释放量E₀≤0.050mg/m³，挥发性有机化合物（72h）均未检出，外观质量、含水率、2h吸水厚度膨胀率、静曲强度、弹性模量、内胶合强度、表面胶合强度、握螺钉力、表面耐磨、表面耐污染腐蚀等均检测合格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(提供具有CMA标识的国家第三方检验检测机构出具的“三聚氰胺板 ”检验报告复印件并加盖供应商公章） 。</w:t>
                  </w: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 xml:space="preserve">                                                                         ▲3、封边条：塑料封边条外观、耐干热性、耐磨性、耐开裂性（耐龟裂性）、耐老化性、耐冷热循环性、耐光色牢度（灰色样卡）等均检测合格，封边条甲醛释放量未检出，可迁移元素（可溶性重金属）未检出，邻苯二甲酸酯未检出，多溴联苯不得检出，多溴联苯醚不得检出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(提供具有CMA标识的国家第三方检验检测机构出具的“封边条”检验报告复印件并加盖供应商公章）</w:t>
                  </w:r>
                </w:p>
                <w:p>
                  <w:pPr>
                    <w:pStyle w:val="4"/>
                    <w:numPr>
                      <w:ilvl w:val="0"/>
                      <w:numId w:val="1"/>
                    </w:numPr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▲4、热熔胶：苯不得检出，甲苯+乙苯+二甲苯不得检出，卤代烃不得检出，总挥发性有机物≤5g/L。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(提供具有CMA标识的国家第三方检验检测机构出具的“热熔胶”检验报告复印件并加盖供应商公章）</w:t>
                  </w:r>
                </w:p>
                <w:p>
                  <w:pPr>
                    <w:pStyle w:val="4"/>
                    <w:numPr>
                      <w:ilvl w:val="0"/>
                      <w:numId w:val="1"/>
                    </w:numPr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▲5、锁具：保密度、牢固度、灵活度、外观质量均检测合格，通过人造气氛腐蚀试验（盐雾试验）。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(提供具有CMA标识的国家第三方检验检测机构出具的“锁具”检验报告复印件并加盖供应商公章）</w:t>
                  </w:r>
                </w:p>
                <w:p>
                  <w:pPr>
                    <w:pStyle w:val="4"/>
                    <w:numPr>
                      <w:ilvl w:val="0"/>
                      <w:numId w:val="1"/>
                    </w:numPr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▲6、三合一连接件：主要尺寸与角度合格，外观合格，力学性能合格，通过人造气氛腐蚀试验（盐雾试验）。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(提供具有CMA标识的国家第三方检验检测机构出具的“三合一连接件”检验报告复印件并加盖供应商公章）</w:t>
                  </w:r>
                </w:p>
                <w:p>
                  <w:pPr>
                    <w:pStyle w:val="4"/>
                    <w:numPr>
                      <w:ilvl w:val="0"/>
                      <w:numId w:val="1"/>
                    </w:numPr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▲7、铰链：垂直静载荷、垂直静载荷（过载）、水平静载荷、水平静载荷（过载）、操作力、耐久性、下沉量、金属件外观性能要求等均检测合格，通过人造气氛腐蚀试验。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(提供具有CMA标识的国家第三方检验检测机构出具的“铰链”检验报告复印件并加盖供应商公章）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b/>
                      <w:sz w:val="28"/>
                    </w:rPr>
                    <w:t>公寓椅：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★1、规格：380mm*300mm*790mm（±10mm）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 xml:space="preserve">2、钢架：采用≥25mm*25mm*1.2mm方管制作。                                 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3、椅面、椅背：E1级≥15mm三聚氰胺板。</w:t>
                  </w:r>
                </w:p>
                <w:p>
                  <w:pPr>
                    <w:pStyle w:val="4"/>
                    <w:ind w:firstLine="380"/>
                    <w:jc w:val="left"/>
                    <w:rPr>
                      <w:rFonts w:hint="eastAsia" w:ascii="宋体" w:hAnsi="宋体" w:eastAsia="宋体" w:cs="宋体"/>
                      <w:color w:val="000000"/>
                      <w:sz w:val="28"/>
                      <w:lang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4、封边条：采用≥1.5mmPVC封边条经全自动封边机高热熔环保胶封边。</w:t>
                  </w:r>
                </w:p>
                <w:p>
                  <w:pPr>
                    <w:pStyle w:val="4"/>
                    <w:ind w:firstLine="38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sz w:val="28"/>
                    </w:rPr>
                    <w:t>5、钢架表面经除油、除锈、陶化、烘干后采用环氧树脂粉末静电喷涂处理。                                                                                                                             ▲6、公寓椅（学生椅）：金属件外观性能要求合格；木制件外观性能要求；结构安全合格、涂层和覆面层中可溶性重金属合格；人造板部件甲醛释放量E₁：≤0.124 mg/m³；金属喷漆（塑）涂层硬度≥5H；木制件表面贴面层耐污染性能和木制件表面贴面层表面耐磨性合格；座面静载荷、椅背静载荷、座面耐久性、椅背耐久性、椅凳类稳定性均检测合格。</w:t>
                  </w:r>
                  <w:r>
                    <w:rPr>
                      <w:rFonts w:ascii="宋体" w:hAnsi="宋体" w:eastAsia="宋体" w:cs="宋体"/>
                      <w:b/>
                      <w:color w:val="000000"/>
                      <w:sz w:val="28"/>
                    </w:rPr>
                    <w:t>（提供具有CMA标识的国家第三方检验检测机构出具的“公寓椅（学生椅）”（检验类别：型式检验）的检验报告复印件并加盖供应商公章，）。</w:t>
                  </w:r>
                  <w:r>
                    <w:rPr>
                      <w:rFonts w:ascii="&quot;times new roman&quot;" w:hAnsi="&quot;times new roman&quot;" w:eastAsia="&quot;times new roman&quot;" w:cs="&quot;times new roman&quot;"/>
                      <w:sz w:val="21"/>
                    </w:rPr>
                    <w:t xml:space="preserve">  </w:t>
                  </w:r>
                  <w:r>
                    <w:rPr>
                      <w:rFonts w:ascii="&quot;times new roman&quot;" w:hAnsi="&quot;times new roman&quot;" w:eastAsia="&quot;times new roman&quot;" w:cs="&quot;times new roman&quot;"/>
                      <w:b/>
                      <w:sz w:val="21"/>
                    </w:rPr>
                    <w:t xml:space="preserve">                                                                               </w:t>
                  </w:r>
                </w:p>
              </w:tc>
            </w:tr>
          </w:tbl>
          <w:p/>
        </w:tc>
      </w:tr>
    </w:tbl>
    <w:p>
      <w:pPr>
        <w:pStyle w:val="4"/>
        <w:ind w:firstLine="480"/>
        <w:outlineLvl w:val="2"/>
      </w:pPr>
      <w:r>
        <w:rPr>
          <w:b/>
          <w:sz w:val="28"/>
        </w:rPr>
        <w:t>3.4商务要求</w:t>
      </w:r>
    </w:p>
    <w:p>
      <w:pPr>
        <w:pStyle w:val="4"/>
        <w:ind w:firstLine="480"/>
        <w:outlineLvl w:val="3"/>
      </w:pPr>
      <w:r>
        <w:rPr>
          <w:b/>
          <w:sz w:val="24"/>
        </w:rPr>
        <w:t>3.4.1交货时间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自合同签订之日起10日</w:t>
      </w:r>
    </w:p>
    <w:p>
      <w:pPr>
        <w:pStyle w:val="4"/>
        <w:ind w:firstLine="480"/>
        <w:outlineLvl w:val="3"/>
      </w:pPr>
      <w:r>
        <w:rPr>
          <w:b/>
          <w:sz w:val="24"/>
        </w:rPr>
        <w:t>3.4.2交货地点和方式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采购人指定地点</w:t>
      </w:r>
    </w:p>
    <w:p>
      <w:pPr>
        <w:pStyle w:val="4"/>
        <w:ind w:firstLine="480"/>
        <w:outlineLvl w:val="3"/>
      </w:pPr>
      <w:r>
        <w:rPr>
          <w:b/>
          <w:sz w:val="24"/>
        </w:rPr>
        <w:t>3.4.3支付方式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分期付款</w:t>
      </w:r>
    </w:p>
    <w:p>
      <w:pPr>
        <w:pStyle w:val="4"/>
        <w:ind w:firstLine="480"/>
        <w:outlineLvl w:val="3"/>
      </w:pPr>
      <w:r>
        <w:rPr>
          <w:b/>
          <w:sz w:val="24"/>
        </w:rPr>
        <w:t>3.4.4支付约定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采购包1：付款条件说明：签订合同之日起，达到付款条件起10日，支付合同总金额的40.00%。</w:t>
      </w:r>
    </w:p>
    <w:p>
      <w:pPr>
        <w:pStyle w:val="4"/>
      </w:pPr>
      <w:r>
        <w:t>采购包1：付款条件说明：安装调试完毕，验收合格后，达到付款条件起10日，支付合同总金额的60.00%。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3.4.5验收标准和方法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按照政府采购相关法律法规的要求、《财政部关于进一步加强政府采购需求和履约验收管理的指导意见》（财库〔2016〕205号）文件、采购文件、成交供应商的响应文件及承诺、合同约定的标准以及采购人提出的要求进行验收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3.4.6包装方式及运输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涉及的商品包装和快递包装，均应符合《商品包装政府采购需求标准（试行）》《快递包装政府采购需求标准（试行）》的要求，包装应适应于远距离运输、防潮、防震、防锈和防野蛮装卸，以确保货物安全无损运抵指定地点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3.4.7质量保修范围和保修期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符合国家、省级相关规范及要求，并满足采购人对项目的需求。</w:t>
      </w:r>
    </w:p>
    <w:p>
      <w:pPr>
        <w:pStyle w:val="4"/>
        <w:ind w:firstLine="480"/>
        <w:outlineLvl w:val="3"/>
      </w:pPr>
      <w:r>
        <w:rPr>
          <w:b/>
          <w:sz w:val="24"/>
        </w:rPr>
        <w:t>3.4.8违约责任与解决争议的方法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  <w:r>
        <w:t>采购包1：</w:t>
      </w:r>
    </w:p>
    <w:p>
      <w:pPr>
        <w:pStyle w:val="4"/>
      </w:pPr>
      <w:r>
        <w:t>（1）双方必须遵守合同中的各项规定，保证合同的正常履行。（2）如因供应商工 作人员在履行职务过程中的疏忽、失职、过错等故意或者过失原因给采购人造成损失或侵害，包括但不限于采购人本身的财产 损失、由此而导致的采购人对任何第三方的法律责任等，供应商对此均应承担全部的赔偿责任。争议解决方法 ：如发生 争议 ，由双方协商而定，若协商无果，以采购人所在地人民法院管辖</w:t>
      </w:r>
    </w:p>
    <w:p>
      <w:pPr>
        <w:pStyle w:val="4"/>
        <w:ind w:firstLine="480"/>
        <w:jc w:val="left"/>
        <w:outlineLvl w:val="2"/>
      </w:pPr>
      <w:r>
        <w:rPr>
          <w:b/>
          <w:sz w:val="28"/>
        </w:rPr>
        <w:t>3.5其他要求</w:t>
      </w:r>
    </w:p>
    <w:p>
      <w:pPr>
        <w:pStyle w:val="4"/>
      </w:pPr>
    </w:p>
    <w:p>
      <w:pPr>
        <w:pStyle w:val="4"/>
      </w:pPr>
    </w:p>
    <w:p>
      <w:pPr>
        <w:pStyle w:val="4"/>
      </w:pPr>
      <w:r>
        <w:t>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&quot;times new roman&quot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lvlText w:val="%1."/>
      <w:lvlJc w:val="left"/>
      <w:pPr>
        <w:ind w:left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hMWQ0ZWViYTZiZTFmM2M0ZjI0OTNlODc0ZmUwNWIifQ=="/>
  </w:docVars>
  <w:rsids>
    <w:rsidRoot w:val="49047E8A"/>
    <w:rsid w:val="49047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2023-08-23T03:58:00Z</dcterms:created>
  <dc:creator>Anak。</dc:creator>
  <cp:lastModifiedBy>Anak。</cp:lastModifiedBy>
  <dcterms:modified xsi:type="dcterms:W3CDTF">2023-08-23T05:01:02Z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6497D37728CE402D841516A6BCAD2FCD_11</vt:lpwstr>
  </property>
</Properties>
</file>